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.wmf" ContentType="image/x-wmf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177.5pt;height:63.65pt;mso-wrap-distance-right:0pt" filled="f" o:ole="">
            <v:imagedata r:id="rId3" o:title=""/>
          </v:shape>
          <o:OLEObject Type="Embed" ProgID="Visio.Drawing.11" ShapeID="ole_rId2" DrawAspect="Content" ObjectID="_1934476311" r:id="rId2"/>
        </w:objec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СЛУЖБА РЕЛЕЙНОЙ ЗАЩИТЫ АВТОМАТИКИ И МЕТРОЛОГИИ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5"/>
        <w:tblW w:w="99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567"/>
        <w:gridCol w:w="6344"/>
      </w:tblGrid>
      <w:tr>
        <w:trPr/>
        <w:tc>
          <w:tcPr>
            <w:tcW w:w="3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3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en-US" w:bidi="ar-SA"/>
              </w:rPr>
              <w:t>Утверждаю:</w:t>
            </w:r>
          </w:p>
        </w:tc>
      </w:tr>
      <w:tr>
        <w:trPr/>
        <w:tc>
          <w:tcPr>
            <w:tcW w:w="3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3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en-US" w:bidi="ar-SA"/>
              </w:rPr>
              <w:t>Заместитель Главного инженера по эксплуатации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en-US" w:bidi="ar-SA"/>
              </w:rPr>
              <w:t>филиала ПАО «РусГидро»-«Зейская ГЭС»</w:t>
            </w:r>
          </w:p>
        </w:tc>
      </w:tr>
      <w:tr>
        <w:trPr/>
        <w:tc>
          <w:tcPr>
            <w:tcW w:w="3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3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en-US" w:bidi="ar-SA"/>
              </w:rPr>
              <w:t>___________________Д.Н. Шелопугин</w:t>
            </w:r>
          </w:p>
        </w:tc>
      </w:tr>
      <w:tr>
        <w:trPr/>
        <w:tc>
          <w:tcPr>
            <w:tcW w:w="3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3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en-US" w:bidi="ar-SA"/>
              </w:rPr>
              <w:t>«____»_________________2022г.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5"/>
        <w:tblW w:w="99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234"/>
        <w:gridCol w:w="7677"/>
      </w:tblGrid>
      <w:tr>
        <w:trPr/>
        <w:tc>
          <w:tcPr>
            <w:tcW w:w="991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eastAsia="Calibri"/>
                <w:b/>
                <w:kern w:val="0"/>
                <w:sz w:val="28"/>
                <w:szCs w:val="28"/>
                <w:lang w:val="ru-RU" w:eastAsia="en-US" w:bidi="ar-SA"/>
              </w:rPr>
              <w:t>Техническое задание</w:t>
            </w:r>
          </w:p>
        </w:tc>
      </w:tr>
      <w:tr>
        <w:trPr/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eastAsia="Calibri"/>
                <w:b/>
                <w:kern w:val="0"/>
                <w:sz w:val="28"/>
                <w:szCs w:val="28"/>
                <w:lang w:val="ru-RU" w:eastAsia="en-US" w:bidi="ar-SA"/>
              </w:rPr>
              <w:t>Наименование ТЗ:</w:t>
            </w:r>
          </w:p>
        </w:tc>
        <w:tc>
          <w:tcPr>
            <w:tcW w:w="767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Техническое задание на разработку рабочей документации по проекту модернизация устройств релейной защиты и автоматики комплексного распределительного устройства 6 кВ Зейской ГЭС</w:t>
            </w:r>
          </w:p>
        </w:tc>
      </w:tr>
      <w:tr>
        <w:trPr/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eastAsia="Calibri"/>
                <w:b/>
                <w:kern w:val="0"/>
                <w:sz w:val="28"/>
                <w:szCs w:val="28"/>
                <w:lang w:val="ru-RU" w:eastAsia="en-US" w:bidi="ar-SA"/>
              </w:rPr>
              <w:t>Кол-во листов</w:t>
            </w:r>
          </w:p>
        </w:tc>
        <w:tc>
          <w:tcPr>
            <w:tcW w:w="767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</w:t>
            </w:r>
          </w:p>
        </w:tc>
      </w:tr>
      <w:tr>
        <w:trPr/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8"/>
                <w:szCs w:val="28"/>
              </w:rPr>
            </w:pPr>
            <w:r>
              <w:rPr>
                <w:rFonts w:eastAsia="Calibri"/>
                <w:b/>
                <w:kern w:val="0"/>
                <w:sz w:val="28"/>
                <w:szCs w:val="28"/>
                <w:lang w:val="ru-RU" w:eastAsia="en-US" w:bidi="ar-SA"/>
              </w:rPr>
              <w:t>Подразделение:</w:t>
            </w:r>
          </w:p>
        </w:tc>
        <w:tc>
          <w:tcPr>
            <w:tcW w:w="767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Участок РЗиПА СРЗАиМ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tbl>
      <w:tblPr>
        <w:tblStyle w:val="a5"/>
        <w:tblW w:w="994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70"/>
        <w:gridCol w:w="4583"/>
        <w:gridCol w:w="4393"/>
      </w:tblGrid>
      <w:tr>
        <w:trPr/>
        <w:tc>
          <w:tcPr>
            <w:tcW w:w="9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 xml:space="preserve">№ </w:t>
            </w:r>
            <w:r>
              <w:rPr>
                <w:rFonts w:eastAsia="Calibri"/>
                <w:b/>
                <w:kern w:val="0"/>
                <w:lang w:val="ru-RU" w:eastAsia="en-US" w:bidi="ar-SA"/>
              </w:rPr>
              <w:t>п/п:</w:t>
            </w:r>
          </w:p>
        </w:tc>
        <w:tc>
          <w:tcPr>
            <w:tcW w:w="4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Должность</w:t>
            </w:r>
          </w:p>
        </w:tc>
        <w:tc>
          <w:tcPr>
            <w:tcW w:w="43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Ф.И.О.</w:t>
            </w:r>
          </w:p>
        </w:tc>
      </w:tr>
      <w:tr>
        <w:trPr/>
        <w:tc>
          <w:tcPr>
            <w:tcW w:w="994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Разработал:</w:t>
            </w:r>
          </w:p>
        </w:tc>
      </w:tr>
      <w:tr>
        <w:trPr/>
        <w:tc>
          <w:tcPr>
            <w:tcW w:w="97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0" w:after="0"/>
              <w:contextualSpacing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4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Начальник участка РЗиПА СРЗАиМ</w:t>
            </w:r>
          </w:p>
        </w:tc>
        <w:tc>
          <w:tcPr>
            <w:tcW w:w="43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Янак Илья Ильич</w:t>
            </w:r>
          </w:p>
        </w:tc>
      </w:tr>
      <w:tr>
        <w:trPr/>
        <w:tc>
          <w:tcPr>
            <w:tcW w:w="994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Согласовано:</w:t>
            </w:r>
          </w:p>
        </w:tc>
      </w:tr>
      <w:tr>
        <w:trPr/>
        <w:tc>
          <w:tcPr>
            <w:tcW w:w="97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0" w:after="0"/>
              <w:contextualSpacing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4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Начальник СРЗАиМ</w:t>
            </w:r>
          </w:p>
        </w:tc>
        <w:tc>
          <w:tcPr>
            <w:tcW w:w="43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Сячин Александр Викторович</w:t>
            </w:r>
          </w:p>
        </w:tc>
      </w:tr>
      <w:tr>
        <w:trPr>
          <w:trHeight w:val="64" w:hRule="atLeast"/>
        </w:trPr>
        <w:tc>
          <w:tcPr>
            <w:tcW w:w="97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before="0" w:after="0"/>
              <w:contextualSpacing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4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Зам. Главного инженера по эксплуатации</w:t>
            </w:r>
          </w:p>
        </w:tc>
        <w:tc>
          <w:tcPr>
            <w:tcW w:w="43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Шелопугин Дмитрий Николаевич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5"/>
        <w:tblW w:w="99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26"/>
        <w:gridCol w:w="8083"/>
        <w:gridCol w:w="703"/>
      </w:tblGrid>
      <w:tr>
        <w:trPr>
          <w:tblHeader w:val="true"/>
        </w:trPr>
        <w:tc>
          <w:tcPr>
            <w:tcW w:w="991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Содержание</w:t>
            </w:r>
          </w:p>
        </w:tc>
      </w:tr>
      <w:tr>
        <w:trPr>
          <w:tblHeader w:val="true"/>
        </w:trPr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 xml:space="preserve">№ </w:t>
            </w:r>
            <w:r>
              <w:rPr>
                <w:rFonts w:eastAsia="Calibri"/>
                <w:b/>
                <w:kern w:val="0"/>
                <w:lang w:val="ru-RU" w:eastAsia="en-US" w:bidi="ar-SA"/>
              </w:rPr>
              <w:t>раздела</w:t>
            </w:r>
          </w:p>
        </w:tc>
        <w:tc>
          <w:tcPr>
            <w:tcW w:w="80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Наименование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Стр.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1.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Определения и сокращения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2.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Местонахождение объекта, для которого разрабатывается рабочая документация 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Основание для разработки рабочей документации 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Перечень документации, которой необходимо руководствоваться при разработке рабочей документации 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Требования к оформлению и предоставлению рабочей документации 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Задание на выполнение рабочей документации 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Предварительный анализ по составу оборудовнаия 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</w:t>
            </w:r>
          </w:p>
        </w:tc>
      </w:tr>
      <w:tr>
        <w:trPr/>
        <w:tc>
          <w:tcPr>
            <w:tcW w:w="1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8.</w:t>
            </w:r>
          </w:p>
        </w:tc>
        <w:tc>
          <w:tcPr>
            <w:tcW w:w="8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Перечень приложений к ТЗ на разработку рабочей документации </w:t>
            </w:r>
          </w:p>
        </w:tc>
        <w:tc>
          <w:tcPr>
            <w:tcW w:w="7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firstLine="425"/>
        <w:rPr/>
      </w:pPr>
      <w:r>
        <w:rPr>
          <w:rFonts w:eastAsia="Calibri"/>
          <w:b/>
        </w:rPr>
        <w:t>1. Определения и сокращения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09"/>
        <w:gridCol w:w="2246"/>
        <w:gridCol w:w="6373"/>
      </w:tblGrid>
      <w:tr>
        <w:trPr/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Литера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Аббревиатура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Расшифровка</w:t>
            </w:r>
          </w:p>
        </w:tc>
      </w:tr>
      <w:tr>
        <w:trPr>
          <w:trHeight w:val="70" w:hRule="atLeast"/>
        </w:trPr>
        <w:tc>
          <w:tcPr>
            <w:tcW w:w="10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А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АСУТП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Автоматизированная система управления технологическими процессами</w:t>
            </w:r>
          </w:p>
        </w:tc>
      </w:tr>
      <w:tr>
        <w:trPr>
          <w:trHeight w:val="64" w:hRule="atLeast"/>
        </w:trPr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АРМ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Автоматизированное рабочее место</w:t>
            </w:r>
          </w:p>
        </w:tc>
      </w:tr>
      <w:tr>
        <w:trPr/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АВР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Автоматический ввод резерва</w:t>
            </w:r>
          </w:p>
        </w:tc>
      </w:tr>
      <w:tr>
        <w:trPr>
          <w:trHeight w:val="70" w:hRule="atLeast"/>
        </w:trPr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Г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ГЭС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Гидроэлектростанция</w:t>
            </w:r>
          </w:p>
        </w:tc>
      </w:tr>
      <w:tr>
        <w:trPr>
          <w:trHeight w:val="70" w:hRule="atLeast"/>
        </w:trPr>
        <w:tc>
          <w:tcPr>
            <w:tcW w:w="10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кВ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Киловольт(ы)</w:t>
            </w:r>
          </w:p>
        </w:tc>
      </w:tr>
      <w:tr>
        <w:trPr>
          <w:trHeight w:val="70" w:hRule="atLeast"/>
        </w:trPr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КРУ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Комплексное распределительное устройство</w:t>
            </w:r>
          </w:p>
        </w:tc>
      </w:tr>
      <w:tr>
        <w:trPr>
          <w:trHeight w:val="70" w:hRule="atLeast"/>
        </w:trPr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М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МЗ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Машинный зал</w:t>
            </w:r>
          </w:p>
        </w:tc>
      </w:tr>
      <w:tr>
        <w:trPr>
          <w:trHeight w:val="70" w:hRule="atLeast"/>
        </w:trPr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Н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НТД</w:t>
            </w:r>
          </w:p>
        </w:tc>
        <w:tc>
          <w:tcPr>
            <w:tcW w:w="637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Нормативно-техническая документация</w:t>
            </w:r>
          </w:p>
        </w:tc>
      </w:tr>
      <w:tr>
        <w:trPr>
          <w:trHeight w:val="70" w:hRule="atLeast"/>
        </w:trPr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О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ОББ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Оперативная блокировка безопасности</w:t>
            </w:r>
          </w:p>
        </w:tc>
      </w:tr>
      <w:tr>
        <w:trPr>
          <w:trHeight w:val="64" w:hRule="atLeast"/>
        </w:trPr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ПНР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Пуско-наладочные работы</w:t>
            </w:r>
          </w:p>
        </w:tc>
      </w:tr>
      <w:tr>
        <w:trPr>
          <w:trHeight w:val="130" w:hRule="atLeast"/>
        </w:trPr>
        <w:tc>
          <w:tcPr>
            <w:tcW w:w="10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РД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Рабочая документация</w:t>
            </w:r>
          </w:p>
        </w:tc>
      </w:tr>
      <w:tr>
        <w:trPr>
          <w:trHeight w:val="130" w:hRule="atLeast"/>
        </w:trPr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РЗ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Релейная защита</w:t>
            </w:r>
          </w:p>
        </w:tc>
      </w:tr>
      <w:tr>
        <w:trPr>
          <w:trHeight w:val="130" w:hRule="atLeast"/>
        </w:trPr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РАС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Регистратор аварийных событий</w:t>
            </w:r>
          </w:p>
        </w:tc>
      </w:tr>
      <w:tr>
        <w:trPr/>
        <w:tc>
          <w:tcPr>
            <w:tcW w:w="10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СРЗАиМ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Служба релейной защиты, автоматики и метрологии</w:t>
            </w:r>
          </w:p>
        </w:tc>
      </w:tr>
      <w:tr>
        <w:trPr>
          <w:trHeight w:val="70" w:hRule="atLeast"/>
        </w:trPr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СМР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Строительно-монтажные работы</w:t>
            </w:r>
          </w:p>
        </w:tc>
      </w:tr>
      <w:tr>
        <w:trPr>
          <w:trHeight w:val="70" w:hRule="atLeast"/>
        </w:trPr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СОПТ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Система оперативного постоянного тока</w:t>
            </w:r>
          </w:p>
        </w:tc>
      </w:tr>
      <w:tr>
        <w:trPr>
          <w:trHeight w:val="70" w:hRule="atLeast"/>
        </w:trPr>
        <w:tc>
          <w:tcPr>
            <w:tcW w:w="10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Т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ТЗ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Техническое задание</w:t>
            </w:r>
          </w:p>
        </w:tc>
      </w:tr>
      <w:tr>
        <w:trPr>
          <w:trHeight w:val="70" w:hRule="atLeast"/>
        </w:trPr>
        <w:tc>
          <w:tcPr>
            <w:tcW w:w="10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ТТ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Трансформатор тока</w:t>
            </w:r>
          </w:p>
        </w:tc>
      </w:tr>
      <w:tr>
        <w:trPr>
          <w:trHeight w:val="70" w:hRule="atLeast"/>
        </w:trPr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У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УРЗА</w:t>
            </w:r>
          </w:p>
        </w:tc>
        <w:tc>
          <w:tcPr>
            <w:tcW w:w="63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Устройство релейной защиты и автоматики</w:t>
            </w:r>
          </w:p>
        </w:tc>
      </w:tr>
      <w:tr>
        <w:trPr/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Ц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ЦПУ</w:t>
            </w:r>
          </w:p>
        </w:tc>
        <w:tc>
          <w:tcPr>
            <w:tcW w:w="637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Центральный пульт управления</w:t>
            </w:r>
          </w:p>
        </w:tc>
      </w:tr>
      <w:tr>
        <w:trPr/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Ш</w:t>
            </w:r>
          </w:p>
        </w:tc>
        <w:tc>
          <w:tcPr>
            <w:tcW w:w="22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ШРОТ</w:t>
            </w:r>
          </w:p>
        </w:tc>
        <w:tc>
          <w:tcPr>
            <w:tcW w:w="637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Шкаф распределения оперативного тока</w:t>
            </w:r>
          </w:p>
        </w:tc>
      </w:tr>
      <w:tr>
        <w:trPr/>
        <w:tc>
          <w:tcPr>
            <w:tcW w:w="1009" w:type="dxa"/>
            <w:vMerge w:val="restart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</w:t>
            </w:r>
          </w:p>
        </w:tc>
        <w:tc>
          <w:tcPr>
            <w:tcW w:w="224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ЭМВ</w:t>
            </w:r>
          </w:p>
        </w:tc>
        <w:tc>
          <w:tcPr>
            <w:tcW w:w="637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Электромагнит включения выключателя</w:t>
            </w:r>
          </w:p>
        </w:tc>
      </w:tr>
      <w:tr>
        <w:trPr/>
        <w:tc>
          <w:tcPr>
            <w:tcW w:w="1009" w:type="dxa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224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ЭМО</w:t>
            </w:r>
          </w:p>
        </w:tc>
        <w:tc>
          <w:tcPr>
            <w:tcW w:w="637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Электромагнит отключения выключателя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jc w:val="both"/>
        <w:rPr>
          <w:b/>
          <w:b/>
        </w:rPr>
      </w:pPr>
      <w:r>
        <w:rPr>
          <w:b/>
        </w:rPr>
        <w:t xml:space="preserve">2. Местонахождение объекта для которого разрабатывается рабочая документация 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268"/>
        <w:gridCol w:w="8359"/>
      </w:tblGrid>
      <w:tr>
        <w:trPr/>
        <w:tc>
          <w:tcPr>
            <w:tcW w:w="126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Адрес</w:t>
            </w:r>
          </w:p>
        </w:tc>
        <w:tc>
          <w:tcPr>
            <w:tcW w:w="83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Российская Федерация, 676244, Амурская область, город Зея, филиал </w:t>
              <w:br/>
              <w:t>ПАО «РусГидро»-«Зейская ГЭС».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jc w:val="both"/>
        <w:rPr>
          <w:b/>
          <w:b/>
        </w:rPr>
      </w:pPr>
      <w:r>
        <w:rPr>
          <w:b/>
        </w:rPr>
        <w:t xml:space="preserve">3. Основание для разработки рабочей документации 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5"/>
        <w:gridCol w:w="8782"/>
      </w:tblGrid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 xml:space="preserve">№ </w:t>
            </w:r>
            <w:r>
              <w:rPr>
                <w:rFonts w:eastAsia="Calibri"/>
                <w:b/>
                <w:kern w:val="0"/>
                <w:lang w:val="ru-RU" w:eastAsia="en-US" w:bidi="ar-SA"/>
              </w:rPr>
              <w:t>п/п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Наименование / пояснение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3.1.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Дефекты №1031961, 1032018, 1030576, 1030524, 1032089, 1030507.</w:t>
            </w:r>
          </w:p>
        </w:tc>
      </w:tr>
      <w:tr>
        <w:trPr/>
        <w:tc>
          <w:tcPr>
            <w:tcW w:w="84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3.2.</w:t>
            </w:r>
          </w:p>
        </w:tc>
        <w:tc>
          <w:tcPr>
            <w:tcW w:w="878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настоящее время УРЗА КРУ-6 кВ обеспечивается оборудование УРЗА производства Шнейдер Электрик, данный производитель ушел с Российского рынка, поставки запасных частей и комплектующих прекращены. Нет возможности выполнять ремонт существующего оборудования УРЗА.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jc w:val="both"/>
        <w:rPr>
          <w:b/>
          <w:b/>
        </w:rPr>
      </w:pPr>
      <w:r>
        <w:rPr>
          <w:b/>
        </w:rPr>
        <w:t>4. Перечень документации, которой необходимо руководствоваться при разработке рабочей документации.</w:t>
      </w:r>
      <w:r>
        <w:rPr/>
        <w:t xml:space="preserve">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разделе.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5"/>
        <w:gridCol w:w="8782"/>
      </w:tblGrid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4.1.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Документация регламентирующая требования к оформлению и составу РД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4.1.1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ГОСТ Р 21.1101-2013 Система проектной документации для строительства. Основные требования к проектной и рабочей документации.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4.1.2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ГОСТ 34.601-90 Информационная технология. Комплекс стандартов на автоматизированные системы. Автоматизированные системы. Стадии создания.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4.1.3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4.2.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Общие отраслевые НТД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Правила устройства электроустановок (актуальная версия).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Правила технической эксплуатации (актуальная версия).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Приказ Минэнерго России №97 от 08.05.2019 Требования к каналам связи для функционирования релейной защиты и автоматики.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4.2.4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Постановление правительства Российской Федерации №2013 от 03.12.2020г. О минимальной доле закупок товаров российского происхождения.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Приказ Минэнерго России №546 от 10.07.2020 Требования к релейной защите и автоматике различных видов и ее функционирование в составе энергосистемы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Приказ Минэнерго России №556 от 13.07.2020 Правила создания (модернизации) комплексов и устройств релейной защиты и автоматики в энергосистеме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4.2.7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Национальный стандарт российской федерации ПНСТ 283-2018 Технические условия на трансформаторы тока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4.2.8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СП 76.13330.2016 Свод правил. Электротехнические устройства.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4.3.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Отраслевые НТД ПАО «ФСК ЕЭС»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4.3.1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СТО 56947007-29.240.044-2010 от 21.04.2010 Методические указания по обеспечению электромагнитной совместимости на объектах электросетевого хозяйства.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4.4.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Отраслевые НТД ПАО «РусГидро»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4.4.1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Протокол ПАО «РусГидро» СД от 10.04.2020 № 307 Техническая политика группы РусГидро.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4.4.2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Приказ ПАО «РусГидро» от 13.03.2020 №201 Общие технические требования к верхнему уровню автоматизированных систем управления технологическими процессами ГЭС/ГАЭС.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4.4.3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Приказ ПАО «РусГидро» от 05.02.2019 №81 СТО РусГидро 01.02.115-2019 Приемка и ввод в эксплуатацию. Правила приемки и ввода в эксплуатацию полностью законченных строительством объектов и отдельных этапов строительства.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4.4.4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Требования к контрольным кабелям, применяемым для релейной защиты и автоматики.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4.4.5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Приказ ПАО «РусГидро» от 19.08.2020 №643 Типовые проектные решения ПАО «РусГидро» при создании (модернизации) РЗА присоединений главных схем всех классов напряжений ГЭС в составе: </w:t>
            </w:r>
            <w:r>
              <w:rPr>
                <w:rFonts w:eastAsia="Times New Roman"/>
                <w:kern w:val="0"/>
                <w:lang w:val="ru-RU" w:eastAsia="ru-RU" w:bidi="ar-SA"/>
              </w:rPr>
              <w:t>87-07-2015-РЗА.ТПР1.1 Технические требования к шкафам и микропроцессорным устройствам защиты и автоматики; 87-07-2015-РЗА.ТПР1.4 Интеграция устройств РЗА в АСУ ТП; 87-07-2015-РЗА.ТПР3.1 Схемы распределения устройств РЗА по ТТ и ТН; 87-07-2015-РЗА.ТПР3.2 Элементы РУ 6-35 кВ; 87-07-2015-РЗА.ТПР4.1 Сметные расчеты затрат на поставку оборудования, СМР, ПНР; 87-07-2015-РЗА.ТПР4.2 Порядок сдачи-приемки систем РЗА в эксплуатацию, объем приемо-сдаточных, наладочных испытаний.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4.5.6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СТО РусГидро 02.02.105-2013 от 2013 Гидроэлектростанции. Системы оперативного постоянного тока. Технические требования, типовые решения.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4.5.7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Комплекс мероприятий, выполняемых при создании и модернизации вторичных цепей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4.5.8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Циркуляр Ц-2015(ЭТО) Технические требования к устройству и содержанию оперативной блокировки безопасности в действующих и вновь проектируемых распределительных устройств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4.5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Тома рабочей и проектной документации, которые необходимо учитывать при разработке РД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4.5.1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59427142.903.015.С5.29 в части УРЗА ТСН 21Т, 22Т, 23Т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4.6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Дополнительная информация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4.6.1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Действующая однолинейная схема Зейской ГЭС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4.6.2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Схемы УРЗА ТСН 21Т, 22Т, 23Т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jc w:val="both"/>
        <w:rPr>
          <w:b/>
          <w:b/>
        </w:rPr>
      </w:pPr>
      <w:r>
        <w:rPr>
          <w:b/>
        </w:rPr>
        <w:t xml:space="preserve">5. Требования к оформлению и предоставлению рабочей документации 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5"/>
        <w:gridCol w:w="8782"/>
      </w:tblGrid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 xml:space="preserve">№ </w:t>
            </w:r>
            <w:r>
              <w:rPr>
                <w:rFonts w:eastAsia="Calibri"/>
                <w:b/>
                <w:kern w:val="0"/>
                <w:lang w:val="ru-RU" w:eastAsia="en-US" w:bidi="ar-SA"/>
              </w:rPr>
              <w:t>п/п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Требование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Текстовая часть (пояснительная записка, графики, описание алгоритмов работы, перечень томов РД, сметы, перечни команд и тд) в электронном виде с возможностью правки в формате </w:t>
            </w:r>
            <w:r>
              <w:rPr>
                <w:rFonts w:eastAsia="Calibri"/>
                <w:kern w:val="0"/>
                <w:lang w:val="en-US" w:eastAsia="en-US" w:bidi="ar-SA"/>
              </w:rPr>
              <w:t>doc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, </w:t>
            </w:r>
            <w:r>
              <w:rPr>
                <w:rFonts w:eastAsia="Calibri"/>
                <w:kern w:val="0"/>
                <w:lang w:val="en-US" w:eastAsia="en-US" w:bidi="ar-SA"/>
              </w:rPr>
              <w:t>docx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 – </w:t>
            </w:r>
            <w:r>
              <w:rPr>
                <w:rFonts w:eastAsia="Calibri"/>
                <w:kern w:val="0"/>
                <w:lang w:val="en-US" w:eastAsia="en-US" w:bidi="ar-SA"/>
              </w:rPr>
              <w:t>WORD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. В электронном виде без возможности правки (с возможностью текстового поиска) в </w:t>
            </w:r>
            <w:r>
              <w:rPr>
                <w:rFonts w:eastAsia="Calibri"/>
                <w:kern w:val="0"/>
                <w:lang w:val="en-US" w:eastAsia="en-US" w:bidi="ar-SA"/>
              </w:rPr>
              <w:t>PDF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 (электронный вариант предоставляется в 2-х экземплярах). В бумажном варианте в 4-х экземплярах в формате А4.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Графическая часть (схемы, чертежи, кабельные журналы, схемы кабельных связей и тд.) предоставляется в электронном виде с возможностью правки в формате </w:t>
            </w:r>
            <w:r>
              <w:rPr>
                <w:rFonts w:eastAsia="Times New Roman"/>
                <w:iCs/>
                <w:kern w:val="0"/>
                <w:lang w:val="en-US" w:eastAsia="ru-RU" w:bidi="ar-SA"/>
              </w:rPr>
              <w:t>VSD</w:t>
            </w:r>
            <w:r>
              <w:rPr>
                <w:rFonts w:eastAsia="Times New Roman"/>
                <w:iCs/>
                <w:kern w:val="0"/>
                <w:lang w:val="ru-RU" w:eastAsia="ru-RU" w:bidi="ar-SA"/>
              </w:rPr>
              <w:t>-</w:t>
            </w:r>
            <w:r>
              <w:rPr>
                <w:rFonts w:eastAsia="Times New Roman"/>
                <w:iCs/>
                <w:kern w:val="0"/>
                <w:lang w:val="en-US" w:eastAsia="ru-RU" w:bidi="ar-SA"/>
              </w:rPr>
              <w:t>Visio</w:t>
            </w:r>
            <w:r>
              <w:rPr>
                <w:rFonts w:eastAsia="Times New Roman"/>
                <w:iCs/>
                <w:kern w:val="0"/>
                <w:lang w:val="ru-RU" w:eastAsia="ru-RU" w:bidi="ar-SA"/>
              </w:rPr>
              <w:t xml:space="preserve">, или </w:t>
            </w:r>
            <w:r>
              <w:rPr>
                <w:rFonts w:eastAsia="Times New Roman"/>
                <w:iCs/>
                <w:kern w:val="0"/>
                <w:lang w:val="en-US" w:eastAsia="ru-RU" w:bidi="ar-SA"/>
              </w:rPr>
              <w:t>AutoCAD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. В электронном виде без возможности правки (с возможностью текстового поиска) в </w:t>
            </w:r>
            <w:r>
              <w:rPr>
                <w:rFonts w:eastAsia="Calibri"/>
                <w:kern w:val="0"/>
                <w:lang w:val="en-US" w:eastAsia="en-US" w:bidi="ar-SA"/>
              </w:rPr>
              <w:t>PDF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 (электронный вариант предоставляется в 2-х экземплярах). В бумажном варианте в 4-х экземплярах в формате А4 или А3.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5.3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При невозможности размещения графической части </w:t>
            </w:r>
            <w:r>
              <w:rPr>
                <w:rFonts w:eastAsia="Times New Roman"/>
                <w:iCs/>
                <w:kern w:val="0"/>
                <w:lang w:val="ru-RU" w:eastAsia="ru-RU" w:bidi="ar-SA"/>
              </w:rPr>
              <w:t>в формате А4, А3 допускается применение более больших форматов до А1 включительно</w:t>
            </w:r>
            <w:r>
              <w:rPr>
                <w:rFonts w:eastAsia="Calibri"/>
                <w:kern w:val="0"/>
                <w:lang w:val="ru-RU" w:eastAsia="en-US" w:bidi="ar-SA"/>
              </w:rPr>
              <w:t>)). Применение документации в форматах отличных от А4 и А3 должно быть согласовано отдельно.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5.4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kern w:val="0"/>
                <w:lang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Заводская документация на оборудование (инструкции, протоколы, бланки уставок, принципиальные и монтажные схемы, функциональные схемы алгоритмов работы и тд.) предоставляется в электронном виде в формате </w:t>
            </w:r>
            <w:r>
              <w:rPr>
                <w:rFonts w:eastAsia="Calibri"/>
                <w:kern w:val="0"/>
                <w:lang w:val="en-US" w:eastAsia="en-US" w:bidi="ar-SA"/>
              </w:rPr>
              <w:t>doc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, </w:t>
            </w:r>
            <w:r>
              <w:rPr>
                <w:rFonts w:eastAsia="Calibri"/>
                <w:kern w:val="0"/>
                <w:lang w:val="en-US" w:eastAsia="en-US" w:bidi="ar-SA"/>
              </w:rPr>
              <w:t>docx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 – </w:t>
            </w:r>
            <w:r>
              <w:rPr>
                <w:rFonts w:eastAsia="Calibri"/>
                <w:kern w:val="0"/>
                <w:lang w:val="en-US" w:eastAsia="en-US" w:bidi="ar-SA"/>
              </w:rPr>
              <w:t>WORD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 и / или </w:t>
            </w:r>
            <w:r>
              <w:rPr>
                <w:rFonts w:eastAsia="Times New Roman"/>
                <w:iCs/>
                <w:kern w:val="0"/>
                <w:lang w:val="en-US" w:eastAsia="ru-RU" w:bidi="ar-SA"/>
              </w:rPr>
              <w:t>VSD</w:t>
            </w:r>
            <w:r>
              <w:rPr>
                <w:rFonts w:eastAsia="Times New Roman"/>
                <w:iCs/>
                <w:kern w:val="0"/>
                <w:lang w:val="ru-RU" w:eastAsia="ru-RU" w:bidi="ar-SA"/>
              </w:rPr>
              <w:t>-</w:t>
            </w:r>
            <w:r>
              <w:rPr>
                <w:rFonts w:eastAsia="Times New Roman"/>
                <w:iCs/>
                <w:kern w:val="0"/>
                <w:lang w:val="en-US" w:eastAsia="ru-RU" w:bidi="ar-SA"/>
              </w:rPr>
              <w:t>Visio</w:t>
            </w:r>
            <w:r>
              <w:rPr>
                <w:rFonts w:eastAsia="Times New Roman"/>
                <w:iCs/>
                <w:kern w:val="0"/>
                <w:lang w:val="ru-RU" w:eastAsia="ru-RU" w:bidi="ar-SA"/>
              </w:rPr>
              <w:t xml:space="preserve">, или </w:t>
            </w:r>
            <w:r>
              <w:rPr>
                <w:rFonts w:eastAsia="Times New Roman"/>
                <w:iCs/>
                <w:kern w:val="0"/>
                <w:lang w:val="en-US" w:eastAsia="ru-RU" w:bidi="ar-SA"/>
              </w:rPr>
              <w:t>AutoCAD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 и /или </w:t>
            </w:r>
            <w:r>
              <w:rPr>
                <w:rFonts w:eastAsia="Calibri"/>
                <w:kern w:val="0"/>
                <w:lang w:val="en-US" w:eastAsia="en-US" w:bidi="ar-SA"/>
              </w:rPr>
              <w:t>PDF</w:t>
            </w:r>
            <w:r>
              <w:rPr>
                <w:rFonts w:eastAsia="Calibri"/>
                <w:kern w:val="0"/>
                <w:lang w:val="ru-RU" w:eastAsia="en-US" w:bidi="ar-SA"/>
              </w:rPr>
              <w:t xml:space="preserve"> (электронный вариант предоставляется в 2-х экземплярах). В бумажном варианте в 1-м экземпляре в формате предоставляемом заводом изготовителем оборудования.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5.5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Не допускается передача документации в формате Adobe Acrobat с пофайловым разделением страниц.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5.6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 направлении откорректированных материалов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jc w:val="both"/>
        <w:rPr>
          <w:b/>
          <w:b/>
        </w:rPr>
      </w:pPr>
      <w:r>
        <w:rPr>
          <w:b/>
        </w:rPr>
        <w:t xml:space="preserve">6. Задание на выполнение рабочей документации 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5"/>
        <w:gridCol w:w="8782"/>
      </w:tblGrid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6.1.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Требования к разрабатываемой рабочей документацией: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Рабочая документация выполняется в одностадийной форме.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РД разрабатывается с целью модернизации (замены) существующего оборудования УРЗА КРУ-6 кВ Зейской ГЭС. Интеграцией всего вновь устанавливаемого оборудования УРЗА в действующую систему АСУ ТП и АРМ инженера релейщика, а также РД должна предусматривать сбор сигналов телемеханики оборудования КРУ-6 кВ для возможности осуществления последующей реализации ОББ КРУ-6 кВ в общую систему ОББ станции.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Рабочая документация должна отражать принципы работы и логику функционирования создаваемого комплекса РЗА КРУ-6 кВ и содержать технические решения, необходимые для монтажа, наладки, приемки, ввода в работу и последующего технического обслуживания комплекса или устройства РЗА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Разработать пояснительную записку, включающую в себя проектный расчет и выбор параметров настройки (уставок) и алгоритмов функционирования вновь устанавливаемых устройств РЗА. При необходимости предусмотреть возможность выбора нескольких групп уставок на вновь устанавливаемых РЗА. Выполнить расчет намагниченности трансформаторов тока для вновь устанавливаемых устройств РЗА и выбор новых ТТ при необходимости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6.1.4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РД должно содержать схемы распределения по трансформаторам тока и напряжения устройств РЗА, информационно-измерительных систем (автоматизированных систем управления технологическим процессом, автоматизированных информационно-измерительных систем коммерческого учета электроэнергии).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должно быть разработаны принципиальные и монтажные схемы электрических соединений устройств РЗА и внешних связей с другими устройствами РЗА, трансформаторами тока и напряжения, преобразователями аналоговых сигналов и дискретных сигналов, коммутационными аппаратами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должны быть указаны принципиальные и (или) функционально-логические схемы, в графическом виде, отражающие алгоритмы функционирования устройств РЗА, выполненные с применением стандартных для применяемого устройства РЗА логических элементов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6.1.7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должны быть указаны данные по параметрированию (конфигурированию) микропроцессорных устройств РЗА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6.1.8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Схемы организации каналов связи, обеспечивающих функционирование РЗА, должны быть выполненные в соответствии с Требованиями к каналам связи для функционирования РЗА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6.1.9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обязательном порядке в РД должны быть представлены заказные спецификации на устройства РЗА с указанием версии (типоисполнения) для микропроцессорных устройств РЗА, всех вспомогательных шкафов и панелей и оборудования АРМ.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6.1.10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должны быть принципиальные и монтажные схемы организации цепей оперативного тока устройств РЗА, каждое устройство РЗА должно быть показано отдельно, не допускается указывать, что одна схема применима для нескольких устройств.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необходимо указать принципиальные и монтажные схемы организации цепей напряжения и токовых цепей всех вновь устанавливаемых устройств РЗА. Не допускается указывать что одна схема применима для нескольких устройств.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составе РД должны быть журналы контрольных кабелей, для всех вновь прокладываемых и повторно используемых кабельных связей. Включая цифровые кабельные связи.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необходимо указать принципиальные и монтажные схемы электрических соединений автоматики управления выключателей оборудования КРУ-6 кВ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6.1.14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необходимо предусмотреть технические решения по реализации информационного обмена устанавливаемых устройств РЗА с существующей автоматизированной системой управления технологическим процессом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необходимо предусмотреть технические решения по обеспечению организации АРМ инженера релейщика с возможностью мониторинга в режиме реального времени всего вновь устанавливаемого оборудования РЗА КРУ-6 кВ.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необходимо предусмотреть технические решения по регистрации аварийных событий и процессов с использованием регистраторов аварийных событий, при установке автономного оборудования РАС необходимо также предусмотреть возможность мониторинга РАС через АРМ релейщика.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6.1.17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РД должно содержать строительную часть по демонтажу, монтажу и установке вновь устанавливаемого оборудования с указанием посредством чего и как выполняются монтажно-демонтажные работы.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6.1.18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РД должно содержать сводный сметный расчет, сметные расчеты, программы пуско-наладки, в программах пуско-наладки должно быть четко указано какая работа подразумевается и к какой смете данная работа относится. Указанная документация должна быть выполнена на все работы которые будут выполняться в рамках реализации данной РД.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6.1.19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 РД необходимо разработать схемы установки, планы расстановки, трассы прокладки кабельных трасс.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6.2.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Объем предпроектного обследования: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6.2.1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Выполнить анализ существующих помещений и оборудования КРУ-6 кВ, РЗА КРУ-6 кВ и существующей системы АСУ ТП, кабельных трасс с учетом возможности реализации данного проекта исходя из существующих габаритов оборудования и помещений.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6.2.2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Проработать возможные варианты размещения оборудования, с указанием типов оборудования, и прокладки кабельных трасс.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6.2.3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Проработать возможные варианты организации АРМ инженера релейщика для последующего подключения к нему вновь устанавливаемого оборудования УРЗА КРУ-6 кВ.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6.2.4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Проработать возможность подключения всего вновь устанавливаемого оборудования к цепям питания.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6.2.5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Проработать возможность подключения всего вновь устанавливаемого оборудования к действующей системе АСУ ТП.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6.2.6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Проработать установку вспомогательного оборудования обеспечивающего возможность сбора сигналов телемеханики оборудования КРУ-6 кВ для последующей реализации всех требований к ОББ КРУ-6 кВ и интеграции ОББ КРУ-6 кВ в систему ОББ Зейской ГЭС 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6.2.6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Произвести выбор оборудования для реализации УРЗА, ОББ и АРМ инженера релейщика КРУ-6 кВ и ТТ (при необходимости).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jc w:val="both"/>
        <w:rPr>
          <w:b/>
          <w:b/>
        </w:rPr>
      </w:pPr>
      <w:r>
        <w:rPr>
          <w:b/>
        </w:rPr>
        <w:t xml:space="preserve">7. Предварительный анализ по составу оборудования 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15"/>
        <w:gridCol w:w="8612"/>
      </w:tblGrid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7.1.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Состав устройств РЗА КРУ-6 кВ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Дуговая защита 1С-6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Дуговая защита 2С-6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Оборудования АВР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7.1.4.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Защита от замыкания на землю в сети 6 кВ 1С-6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7.1.5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Защита от замыкания на землю в сети 6 кВ 2С-6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7.1.6.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Защита от замыкания на землю в сети 6 кВ для стороны 6 кВ ТСН-22Т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7.1.7.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для ввода 6 кВ 21Т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7.1.8.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для вводов 6 кВ 22Т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7.1.9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для ввода 6 кВ 23Т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7.1.10.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7.1.11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7.1.12.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7.1.13.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№4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7.1.14.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№5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7.1.15.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7.1.16.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№7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7.1.17.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№10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7.1.18.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№11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7.1.19.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№12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7.1.20.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№14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7.1.21.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№15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7.1.22.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№16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7.1.23.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№17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7.1.24.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секционного выключателя СВ-1-6 ячейка №18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7.1.25.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секционного выключателя СВ-2-6 ячейка №19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7.1.26.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№20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7.1.27.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№21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7.1.28.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№22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7.1.29.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№23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7.1.30.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№25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7.1.31.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7.1.32.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№27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7.1.33.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№28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7.1.34.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№30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7.1.35.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№32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7.1.36.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№33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7.1.37.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№34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7.1.38.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№35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7.1.39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№37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7.1.40.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№38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7.1.41.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№39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7.1.42.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Комплект защит отходящего фидера ячейки 6 кВ №40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7.2.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Состав устройств питания оперативны постоянным током РЗА КРУ-6 кВ и ЭМВ, ЭМО выключателей КРУ-6 кВ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7.2.1.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Шкаф распределения питания оборудования УРЗА постоянным оперативным током 1С-6. С возможностью перевода присоединении потребителей с одной секции на другую.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7.2.3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Шкаф распределения питания оборудования УРЗА постоянным оперативным током 2С-6. С возможностью перевода присоединении потребителей с одной секции на другую.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rFonts w:eastAsia="Calibri"/>
                <w:b/>
                <w:bCs/>
                <w:kern w:val="0"/>
                <w:lang w:val="ru-RU" w:eastAsia="en-US" w:bidi="ar-SA"/>
              </w:rPr>
              <w:t>7.3.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</w:rPr>
            </w:pPr>
            <w:r>
              <w:rPr>
                <w:rFonts w:eastAsia="Calibri"/>
                <w:b/>
                <w:bCs/>
                <w:kern w:val="0"/>
                <w:lang w:val="ru-RU" w:eastAsia="en-US" w:bidi="ar-SA"/>
              </w:rPr>
              <w:t>Состав оборудования для подключения к действующей системе АСУТП и сбора информации по ОББ КРУ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7.3.1.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Система (контролер) АСУТП и ОББ 1С-6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7.3.2.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Система (контролер) АСУТП и ОББ 2С-6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rFonts w:eastAsia="Calibri"/>
                <w:b/>
                <w:bCs/>
                <w:kern w:val="0"/>
                <w:lang w:val="ru-RU" w:eastAsia="en-US" w:bidi="ar-SA"/>
              </w:rPr>
              <w:t>7.4.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Оборудование регистрации аварийных событий КРУ-6 кВ</w:t>
            </w:r>
          </w:p>
        </w:tc>
      </w:tr>
      <w:tr>
        <w:trPr/>
        <w:tc>
          <w:tcPr>
            <w:tcW w:w="10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7.4.1.</w:t>
            </w:r>
          </w:p>
        </w:tc>
        <w:tc>
          <w:tcPr>
            <w:tcW w:w="8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РАС 1С-6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7.4.2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РАС 2С-6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rFonts w:eastAsia="Calibri"/>
                <w:b/>
                <w:bCs/>
                <w:kern w:val="0"/>
                <w:lang w:val="ru-RU" w:eastAsia="en-US" w:bidi="ar-SA"/>
              </w:rPr>
              <w:t>7.5.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Оборудование АРМ КРУ-6 кВ</w:t>
            </w:r>
          </w:p>
        </w:tc>
      </w:tr>
      <w:tr>
        <w:trPr/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7.5.1</w:t>
            </w:r>
          </w:p>
        </w:tc>
        <w:tc>
          <w:tcPr>
            <w:tcW w:w="861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Система АРМ релейного персонала для обслуживания УРЗА КРУ-6 кВ</w:t>
            </w:r>
          </w:p>
        </w:tc>
      </w:tr>
    </w:tbl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jc w:val="both"/>
        <w:rPr>
          <w:b/>
          <w:b/>
        </w:rPr>
      </w:pPr>
      <w:r>
        <w:rPr>
          <w:b/>
        </w:rPr>
        <w:t>8. Перечень приложений</w:t>
      </w:r>
    </w:p>
    <w:tbl>
      <w:tblPr>
        <w:tblStyle w:val="a5"/>
        <w:tblW w:w="962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5"/>
        <w:gridCol w:w="8782"/>
      </w:tblGrid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8.1.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Приложения: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8.1.1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Приложение №1 Отраслевые НТД ПАО «ФСК ЕЭС»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8.1.2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Приложение №2 Отраслевые НТД ПАО «РусГидро»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8.1.3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Приложение №3 Схемы существующего УРЗА КРУ-6 кВ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8.1.4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Приложение №4 Схемы собственных нужд и оперативные схемы Зейской ГЭС</w:t>
            </w:r>
          </w:p>
        </w:tc>
      </w:tr>
      <w:tr>
        <w:trPr/>
        <w:tc>
          <w:tcPr>
            <w:tcW w:w="8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8.1.5</w:t>
            </w:r>
          </w:p>
        </w:tc>
        <w:tc>
          <w:tcPr>
            <w:tcW w:w="878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Приложение №5 Схемы УРЗА ТСН</w:t>
            </w:r>
          </w:p>
        </w:tc>
      </w:tr>
    </w:tbl>
    <w:p>
      <w:pPr>
        <w:pStyle w:val="Normal"/>
        <w:ind w:left="284" w:hanging="284"/>
        <w:rPr/>
      </w:pPr>
      <w:r>
        <w:rPr/>
      </w:r>
      <w:bookmarkStart w:id="0" w:name="_GoBack"/>
      <w:bookmarkStart w:id="1" w:name="_GoBack"/>
      <w:bookmarkEnd w:id="1"/>
    </w:p>
    <w:p>
      <w:pPr>
        <w:pStyle w:val="Normal"/>
        <w:ind w:left="284" w:hanging="284"/>
        <w:rPr/>
      </w:pPr>
      <w:r>
        <w:rPr/>
      </w:r>
    </w:p>
    <w:p>
      <w:pPr>
        <w:pStyle w:val="Normal"/>
        <w:ind w:left="284" w:hanging="284"/>
        <w:rPr/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134" w:right="850" w:gutter="0" w:header="567" w:top="851" w:footer="567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97843264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jc w:val="right"/>
      <w:rPr/>
    </w:pPr>
    <w:r>
      <w:rPr/>
      <w:t>ТЗ РД УРЗА КРУ-6 кВ Зейской ГЭС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644b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63c66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c47b62"/>
    <w:rPr>
      <w:rFonts w:ascii="Times New Roman" w:hAnsi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qFormat/>
    <w:rsid w:val="00c47b62"/>
    <w:rPr>
      <w:rFonts w:ascii="Times New Roman" w:hAnsi="Times New Roman" w:cs="Times New Roman"/>
      <w:sz w:val="24"/>
      <w:szCs w:val="24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c62fc4"/>
    <w:rPr>
      <w:sz w:val="16"/>
      <w:szCs w:val="16"/>
    </w:rPr>
  </w:style>
  <w:style w:type="character" w:styleId="Style17" w:customStyle="1">
    <w:name w:val="Текст примечания Знак"/>
    <w:basedOn w:val="DefaultParagraphFont"/>
    <w:link w:val="Annotationtext"/>
    <w:uiPriority w:val="99"/>
    <w:semiHidden/>
    <w:qFormat/>
    <w:rsid w:val="00c62fc4"/>
    <w:rPr>
      <w:rFonts w:ascii="Times New Roman" w:hAnsi="Times New Roman" w:cs="Times New Roman"/>
      <w:sz w:val="20"/>
      <w:szCs w:val="20"/>
    </w:rPr>
  </w:style>
  <w:style w:type="character" w:styleId="Style18" w:customStyle="1">
    <w:name w:val="Тема примечания Знак"/>
    <w:basedOn w:val="Style17"/>
    <w:link w:val="Annotationsubject"/>
    <w:uiPriority w:val="99"/>
    <w:semiHidden/>
    <w:qFormat/>
    <w:rsid w:val="00c62fc4"/>
    <w:rPr>
      <w:rFonts w:ascii="Times New Roman" w:hAnsi="Times New Roman" w:cs="Times New Roman"/>
      <w:b/>
      <w:bCs/>
      <w:sz w:val="20"/>
      <w:szCs w:val="20"/>
    </w:rPr>
  </w:style>
  <w:style w:type="character" w:styleId="Style19" w:customStyle="1">
    <w:name w:val="Основной текст с отступом Знак"/>
    <w:basedOn w:val="DefaultParagraphFont"/>
    <w:qFormat/>
    <w:rsid w:val="00256197"/>
    <w:rPr>
      <w:rFonts w:ascii="Times New Roman" w:hAnsi="Times New Roman" w:eastAsia="Times New Roman" w:cs="Times New Roman"/>
      <w:color w:val="FF0000"/>
      <w:sz w:val="24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b26efc"/>
    <w:rPr>
      <w:color w:val="808080"/>
    </w:rPr>
  </w:style>
  <w:style w:type="character" w:styleId="Strong">
    <w:name w:val="Strong"/>
    <w:basedOn w:val="DefaultParagraphFont"/>
    <w:uiPriority w:val="22"/>
    <w:qFormat/>
    <w:rsid w:val="00595ed0"/>
    <w:rPr>
      <w:b/>
      <w:bCs/>
    </w:rPr>
  </w:style>
  <w:style w:type="character" w:styleId="Style20">
    <w:name w:val="Интернет-ссылка"/>
    <w:basedOn w:val="DefaultParagraphFont"/>
    <w:uiPriority w:val="99"/>
    <w:unhideWhenUsed/>
    <w:rsid w:val="00086896"/>
    <w:rPr>
      <w:color w:val="0000FF" w:themeColor="hyperlink"/>
      <w:u w:val="single"/>
    </w:rPr>
  </w:style>
  <w:style w:type="character" w:styleId="Style21">
    <w:name w:val="Посещённая гиперссылка"/>
    <w:basedOn w:val="DefaultParagraphFont"/>
    <w:uiPriority w:val="99"/>
    <w:semiHidden/>
    <w:unhideWhenUsed/>
    <w:rsid w:val="00831393"/>
    <w:rPr>
      <w:color w:val="800080" w:themeColor="followedHyperlink"/>
      <w:u w:val="single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/>
  </w:style>
  <w:style w:type="paragraph" w:styleId="Style25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lang w:val="zxx" w:eastAsia="zxx" w:bidi="zxx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63c66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429d"/>
    <w:pPr>
      <w:spacing w:before="0" w:after="0"/>
      <w:ind w:left="720" w:hanging="0"/>
      <w:contextualSpacing/>
    </w:pPr>
    <w:rPr/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5"/>
    <w:uiPriority w:val="99"/>
    <w:unhideWhenUsed/>
    <w:rsid w:val="00c47b6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link w:val="Style16"/>
    <w:uiPriority w:val="99"/>
    <w:unhideWhenUsed/>
    <w:rsid w:val="00c47b6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link w:val="Style17"/>
    <w:uiPriority w:val="99"/>
    <w:semiHidden/>
    <w:unhideWhenUsed/>
    <w:qFormat/>
    <w:rsid w:val="00c62fc4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8"/>
    <w:uiPriority w:val="99"/>
    <w:semiHidden/>
    <w:unhideWhenUsed/>
    <w:qFormat/>
    <w:rsid w:val="00c62fc4"/>
    <w:pPr/>
    <w:rPr>
      <w:b/>
      <w:bCs/>
    </w:rPr>
  </w:style>
  <w:style w:type="paragraph" w:styleId="31" w:customStyle="1">
    <w:name w:val="Основной текст с отступом 31"/>
    <w:basedOn w:val="Normal"/>
    <w:qFormat/>
    <w:rsid w:val="002e39d5"/>
    <w:pPr>
      <w:overflowPunct w:val="true"/>
      <w:ind w:left="284" w:hanging="284"/>
      <w:jc w:val="both"/>
    </w:pPr>
    <w:rPr>
      <w:rFonts w:eastAsia="Times New Roman"/>
      <w:sz w:val="28"/>
      <w:szCs w:val="20"/>
      <w:lang w:eastAsia="ru-RU"/>
    </w:rPr>
  </w:style>
  <w:style w:type="paragraph" w:styleId="Style30">
    <w:name w:val="Body Text Indent"/>
    <w:basedOn w:val="Normal"/>
    <w:link w:val="Style19"/>
    <w:rsid w:val="00256197"/>
    <w:pPr>
      <w:overflowPunct w:val="true"/>
      <w:ind w:firstLine="567"/>
      <w:jc w:val="both"/>
      <w:textAlignment w:val="baseline"/>
    </w:pPr>
    <w:rPr>
      <w:rFonts w:eastAsia="Times New Roman"/>
      <w:color w:val="FF0000"/>
      <w:szCs w:val="20"/>
      <w:lang w:eastAsia="ru-RU"/>
    </w:rPr>
  </w:style>
  <w:style w:type="paragraph" w:styleId="NoSpacing">
    <w:name w:val="No Spacing"/>
    <w:uiPriority w:val="1"/>
    <w:qFormat/>
    <w:rsid w:val="006c682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Msonormal" w:customStyle="1">
    <w:name w:val="msonormal"/>
    <w:basedOn w:val="Normal"/>
    <w:qFormat/>
    <w:rsid w:val="00831393"/>
    <w:pPr>
      <w:spacing w:beforeAutospacing="1" w:afterAutospacing="1"/>
    </w:pPr>
    <w:rPr>
      <w:rFonts w:eastAsia="Times New Roman"/>
      <w:lang w:eastAsia="ru-RU"/>
    </w:rPr>
  </w:style>
  <w:style w:type="paragraph" w:styleId="Style3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>
    <w:name w:val="Заголовок таблицы"/>
    <w:basedOn w:val="Style3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d429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59"/>
    <w:rsid w:val="00fa024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1"/>
    <w:basedOn w:val="a1"/>
    <w:uiPriority w:val="59"/>
    <w:rsid w:val="008d3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59"/>
    <w:rsid w:val="008d3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">
    <w:name w:val="Сетка таблицы3"/>
    <w:basedOn w:val="a1"/>
    <w:uiPriority w:val="59"/>
    <w:rsid w:val="008d3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80CF3-B374-4CC9-B98F-644EBACC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AlterOffice/3.2.9.1$Linux_X86_64 LibreOffice_project/f6fcdc9ef8f5642eaaec34925899f1250a32c141</Application>
  <AppVersion>15.0000</AppVersion>
  <Pages>8</Pages>
  <Words>2289</Words>
  <Characters>15410</Characters>
  <CharactersWithSpaces>17330</CharactersWithSpaces>
  <Paragraphs>386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2022-09-20T04:51:00Z</dcterms:created>
  <dc:creator>Гордиенко Данил Сергеевич</dc:creator>
  <dc:description/>
  <dc:language>ru-RU</dc:language>
  <cp:lastModifiedBy>Илья Ильич Янак</cp:lastModifiedBy>
  <cp:lastPrinted>2021-08-03T04:48:00Z</cp:lastPrinted>
  <dcterms:modified xsi:type="dcterms:W3CDTF">2023-05-31T13:13:21Z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